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F61C26" w:rsidRDefault="00911AFB" w:rsidP="00911AFB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911AFB" w:rsidRPr="00F61C26" w:rsidRDefault="00911AFB" w:rsidP="00911AF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Муниципальное </w:t>
      </w:r>
      <w:r w:rsidR="00443522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бюджетное</w:t>
      </w:r>
      <w:bookmarkStart w:id="0" w:name="_GoBack"/>
      <w:bookmarkEnd w:id="0"/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общеобразовательное учреждение</w:t>
      </w:r>
    </w:p>
    <w:p w:rsidR="00911AFB" w:rsidRPr="00F61C26" w:rsidRDefault="00911AFB" w:rsidP="00911AF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«Средняя общеобразовательная школа №12»</w:t>
      </w:r>
    </w:p>
    <w:p w:rsidR="00911AFB" w:rsidRPr="00F61C26" w:rsidRDefault="00911AFB" w:rsidP="00911AFB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</w:p>
    <w:p w:rsidR="00911AFB" w:rsidRDefault="00911AFB" w:rsidP="00911AF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  <w:t>Обучающий семинар</w:t>
      </w:r>
    </w:p>
    <w:p w:rsidR="00911AFB" w:rsidRPr="00911AFB" w:rsidRDefault="00911AFB" w:rsidP="00911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56"/>
          <w:szCs w:val="56"/>
          <w:lang w:eastAsia="ru-RU"/>
        </w:rPr>
      </w:pPr>
      <w:r w:rsidRPr="00911AFB">
        <w:rPr>
          <w:rFonts w:ascii="Times New Roman" w:eastAsia="Times New Roman" w:hAnsi="Times New Roman" w:cs="Times New Roman"/>
          <w:b/>
          <w:bCs/>
          <w:spacing w:val="12"/>
          <w:sz w:val="56"/>
          <w:szCs w:val="56"/>
          <w:lang w:eastAsia="ru-RU"/>
        </w:rPr>
        <w:t>"Проектная деятельность и развитие учебных навыков"</w:t>
      </w:r>
    </w:p>
    <w:p w:rsidR="00911AFB" w:rsidRPr="00F61C26" w:rsidRDefault="00085E97" w:rsidP="00085E97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2"/>
          <w:sz w:val="24"/>
          <w:szCs w:val="24"/>
          <w:lang w:eastAsia="ru-RU"/>
        </w:rPr>
        <w:drawing>
          <wp:inline distT="0" distB="0" distL="0" distR="0" wp14:anchorId="7364756D" wp14:editId="6FF9DE5D">
            <wp:extent cx="3457575" cy="3733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тябр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33"/>
                    <a:stretch/>
                  </pic:blipFill>
                  <pic:spPr bwMode="auto">
                    <a:xfrm>
                      <a:off x="0" y="0"/>
                      <a:ext cx="3462218" cy="3738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AFB" w:rsidRPr="00374F99" w:rsidRDefault="00911AFB" w:rsidP="00911AF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Подготовила и провела:</w:t>
      </w:r>
    </w:p>
    <w:p w:rsidR="00911AFB" w:rsidRPr="00085E97" w:rsidRDefault="00911AFB" w:rsidP="00085E9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proofErr w:type="spellStart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Шамхалова</w:t>
      </w:r>
      <w:proofErr w:type="spellEnd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С.Р. зам. директора по </w:t>
      </w:r>
      <w:r w:rsidR="00085E9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УВР</w:t>
      </w:r>
    </w:p>
    <w:p w:rsidR="00911AFB" w:rsidRDefault="00911AFB" w:rsidP="00911AFB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911AFB" w:rsidRPr="00F61C26" w:rsidRDefault="007B2DC2" w:rsidP="00911AFB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Избербаш 2020</w:t>
      </w:r>
      <w:r w:rsidR="00911AF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</w:p>
    <w:p w:rsidR="00911AFB" w:rsidRDefault="00911AFB" w:rsidP="000A209A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Comic Sans MS" w:eastAsia="Times New Roman" w:hAnsi="Comic Sans MS" w:cs="Helvetica"/>
          <w:b/>
          <w:bCs/>
          <w:color w:val="E6D4A6"/>
          <w:spacing w:val="12"/>
          <w:sz w:val="30"/>
          <w:szCs w:val="30"/>
          <w:lang w:eastAsia="ru-RU"/>
        </w:rPr>
      </w:pPr>
    </w:p>
    <w:p w:rsidR="000A209A" w:rsidRPr="00EC23F0" w:rsidRDefault="000A209A" w:rsidP="00EC2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C23F0">
        <w:rPr>
          <w:rFonts w:ascii="Times New Roman" w:hAnsi="Times New Roman" w:cs="Times New Roman"/>
          <w:sz w:val="24"/>
          <w:szCs w:val="24"/>
          <w:lang w:eastAsia="ru-RU"/>
        </w:rPr>
        <w:t xml:space="preserve"> показать участникам, как при помощи работы над проектом можно развивать </w:t>
      </w:r>
      <w:proofErr w:type="spellStart"/>
      <w:r w:rsidRPr="00EC23F0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C23F0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учащихся. </w:t>
      </w:r>
    </w:p>
    <w:p w:rsidR="000A209A" w:rsidRPr="00EC23F0" w:rsidRDefault="000A209A" w:rsidP="00EC2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EC23F0">
        <w:rPr>
          <w:rFonts w:ascii="Times New Roman" w:hAnsi="Times New Roman" w:cs="Times New Roman"/>
          <w:sz w:val="24"/>
          <w:szCs w:val="24"/>
          <w:lang w:eastAsia="ru-RU"/>
        </w:rPr>
        <w:t> раздаточный материал «</w:t>
      </w:r>
      <w:proofErr w:type="spellStart"/>
      <w:r w:rsidRPr="00EC23F0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C23F0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 навыки», «Бланк для выполнения домашнего задания» (см. текст занятия).</w:t>
      </w:r>
    </w:p>
    <w:p w:rsidR="000A209A" w:rsidRPr="00EC23F0" w:rsidRDefault="000A209A" w:rsidP="00EC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домашнего задания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рассказывают о выполнении домашнего задания, обсуждаются предлагаемые учителями-предметниками темы для изучения в форме выполнения проекта. Необходимо обсудить следующие вопросы (обсуждение идет в форме свободной беседы):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 выглядит неявно сформулированная цель предлагаемого проекта, какую проблему она порождает;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каким может быть название проекта;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какой будет цель проекта и его ожидаемый результат;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будет ли реализация цели решать проблему проекта;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каким может быть план осуществления (что, как и когда делать);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какое время может понадобиться на выполнение проекта, что будет делаться с помощью учителя, что самостоятельно;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какие у детей имеются ресурсы (что они уже знают и умеют, чего еще не знают и не умеют, как они смогут добыть необходимые знания, умения и навыки);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какой будет презентация проекта;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какие приращения в предметных знаниях приобретут дети.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 результатам обсуждения домашнего задания ведущий еще раз обращает внимание участников, что выполнение проекта предполагает наличие у автора определенных первоначальных знаний, умений и навыков. Если ребенок совсем ничего не сможет делать без помощи взрослого, такую работу нельзя поручать ему как проект. Это то ограничение, которое имеет проектная деятельность как метод обучения: автор проекта должен иметь возможность действовать максимально самостоятельно, прибегая к помощи педагога лишь в отдельных случаях.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Например, не имея предметных знаний по теме проекта, он должен иметь доступ к источнику этих знаний; не имея навыка работы в библиотеке или пользования Интернетом, он должен не только получить помощь в этой части своей работы, но и научиться делать это самостоятельно, и так далее.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этом заключается смысл работы над проектом: знания, умения и навыки, приобретаемые осознанно в ходе работы над личностно значимой проблемой, быстро присваиваются и закрепляются ребенком, превращаются в его активный запас академических знаний и практического опыта и в дальнейшем легко переносятся на другие виды школьной работы и частной жизни.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умения и навыки и учебная деятельность</w:t>
      </w: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(раздаточный материал)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352"/>
      </w:tblGrid>
      <w:tr w:rsidR="000A209A" w:rsidRPr="00EC23F0" w:rsidTr="00EC23F0">
        <w:tc>
          <w:tcPr>
            <w:tcW w:w="2235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навыков</w:t>
            </w:r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0A209A" w:rsidRPr="00EC23F0" w:rsidTr="00EC23F0">
        <w:tc>
          <w:tcPr>
            <w:tcW w:w="2235" w:type="dxa"/>
            <w:vMerge w:val="restart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Планирование учебной деятельности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Осознание учебной задачи, постановка целей, выбор рационального и оптимального пути их достижения, определение последовательности и продолжительности этапов деятельности, построение модели (алгоритма) деятельности</w:t>
            </w:r>
          </w:p>
        </w:tc>
      </w:tr>
      <w:tr w:rsidR="000A209A" w:rsidRPr="00EC23F0" w:rsidTr="00EC23F0">
        <w:tc>
          <w:tcPr>
            <w:tcW w:w="2235" w:type="dxa"/>
            <w:vMerge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учебной деятельности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рабочего места (наличие и состояние учебных средств, их рациональное размещение), организация режима работы, организация самостоятельной работы, определение порядка и способов умственной деятельности</w:t>
            </w:r>
          </w:p>
        </w:tc>
      </w:tr>
      <w:tr w:rsidR="000A209A" w:rsidRPr="00EC23F0" w:rsidTr="00EC23F0">
        <w:tc>
          <w:tcPr>
            <w:tcW w:w="2235" w:type="dxa"/>
            <w:vMerge w:val="restart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Общеинтеллектуальные</w:t>
            </w:r>
            <w:proofErr w:type="spellEnd"/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Восприятие информации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Библиографический поиск, чтение и конспектирование, работа со справочниками, словарями, слушание речи, запись прослушанного, осознанное восприятие информации, управление вниманием, наблюдение, избирательное запоминание</w:t>
            </w:r>
            <w:proofErr w:type="gramEnd"/>
          </w:p>
        </w:tc>
      </w:tr>
      <w:tr w:rsidR="000A209A" w:rsidRPr="00EC23F0" w:rsidTr="00EC23F0">
        <w:tc>
          <w:tcPr>
            <w:tcW w:w="2235" w:type="dxa"/>
            <w:vMerge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Мыслительная деятельность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Осмысление учебного материала, выделение главного, анализ и синтез, абстрагирование и конкретизация, индукция — дедукция, классификация, обобщение, систематизация доказательств, построение рассказа, ответа, речи, аргументирование</w:t>
            </w:r>
            <w:proofErr w:type="gramEnd"/>
          </w:p>
        </w:tc>
      </w:tr>
      <w:tr w:rsidR="000A209A" w:rsidRPr="00EC23F0" w:rsidTr="00EC23F0">
        <w:tc>
          <w:tcPr>
            <w:tcW w:w="2235" w:type="dxa"/>
            <w:vMerge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и осмысление результатов своей деятельности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Самоконтроль и взаимоконтроль результатов учебной деятельности, оценка достоверности изложения, верности решения, умение проверить правильность и прочность своих теоретических знаний и практических навыков, рефлексивный анализ учебной деятельности</w:t>
            </w:r>
          </w:p>
        </w:tc>
      </w:tr>
      <w:tr w:rsidR="000A209A" w:rsidRPr="00EC23F0" w:rsidTr="00EC23F0">
        <w:tc>
          <w:tcPr>
            <w:tcW w:w="2235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984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 в ходе учебной деятельности</w:t>
            </w:r>
          </w:p>
        </w:tc>
        <w:tc>
          <w:tcPr>
            <w:tcW w:w="5352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Умение понятно, точно, корректно излагать свои мысли, умение кратко излагать свои мысли, умение полно и развернуто излагать свои мысли, умение задавать вопросы, умение отвечать на вопросы, умение корректно возражать, умение слышать собеседника и встать на его точку зрения, умение отстаивать свою позицию, умение адаптироваться к меняющимся обстоятельствам</w:t>
            </w:r>
          </w:p>
        </w:tc>
      </w:tr>
    </w:tbl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проекта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Обобщая опыт, приобретенный участниками на первом семинаре, в ходе выполнения и обсуждения домашнего задания, ведущий выделяет признаки проекта как метода обучения: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самостоятельность, которая возникает из-за неявно сформулированной цели, которую необходимо додумать. Это придает личностный компонент, мотивирует;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свобода применения всех имеющихся академических знаний и житейского опыта. Это дает возможность использовать свои сильные стороны и показать себя с лучшей стороны;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разнообразие видов самостоятельной деятельности: мыслительной, практической, коммуникативной, презентационной;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— практическое значение проектного продукта, в котором воплощена компетентность его создателя.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еще раз подчеркивает, что работа над проектом формирует активную субъектную позицию ученика в процессе обучения — это важнейший психологический результат применения данного метода обучения.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Проектная деятельность и успешная учеба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Участникам предлагается вспомнить определение проекта как учебного метода (см. раздаточный материал к семинару №1).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Подробно рассматривается определение проекта как дидактического средства.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Чтобы понять, каким образом проектная деятельность развивает не только предметные, но и </w:t>
      </w:r>
      <w:proofErr w:type="spell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умения и навыки, обратимся к таблице (раздаточный материал, см. ниже):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Участникам предлагается вспомнить алгоритм работы над проектом «Строим башню» (см. раздаточный материал к семинару № 1):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Необходимо подумать, как на каждом этапе работы над проектом развиваются </w:t>
      </w:r>
      <w:proofErr w:type="spell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навыки. Участники выполняют задание в малых группах. Далее группы представляют результаты своей работы.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Обобщая высказывания участников, ведущий подчеркивает, что проектная деятельность дает значительные возможности для развития </w:t>
      </w:r>
      <w:proofErr w:type="spell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общеучебных</w:t>
      </w:r>
      <w:proofErr w:type="spell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навыков. Наряду со специфическими проектными навыками, такими как </w:t>
      </w:r>
      <w:proofErr w:type="spell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проблематизация</w:t>
      </w:r>
      <w:proofErr w:type="spell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целеполагание, планирование, умение точно реализовать план или внести в него обоснованные изменения, рефлексия и презентация, проектная деятельность создает предпосылки для успешной учебы не только в школе, но и в вузе.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Тему, выбранную каждым участником для изучения в форме выполнения проекта (см. домашнее задание к семинару № 1), представить в виде алгоритма (см. бланк).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Ответить на вопросы: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Какое время может понадобиться на выполнение данного проекта?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Что учащийся </w:t>
      </w:r>
      <w:proofErr w:type="gram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сможет делать самостоятельно и в чем вы будете</w:t>
      </w:r>
      <w:proofErr w:type="gram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ему помогать?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 Какие у учащегося имеются ресурсы (что он уже знает и умеет, чего еще не знает и не умеет, как он сможет добыть необходимые знания, умения и навыки)?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Какие приращения в предметных знаниях приобретет учащийся?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Какие </w:t>
      </w:r>
      <w:proofErr w:type="spell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</w:t>
      </w:r>
      <w:proofErr w:type="spell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навыки будут развиваться в ходе данного проекта?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Как </w:t>
      </w:r>
      <w:proofErr w:type="gramStart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будет колебаться мотив деятельности учащегося и что вы сможете</w:t>
      </w:r>
      <w:proofErr w:type="gramEnd"/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предпринять, чтобы стимулировать ребенка на активную работу (см. семинар № 1)?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A209A" w:rsidRPr="00EC23F0" w:rsidRDefault="000A209A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Бланк для выполнения домашнего задания</w:t>
      </w:r>
      <w:r w:rsidRPr="00EC23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(раздаточный материал) 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92"/>
        <w:gridCol w:w="5236"/>
        <w:gridCol w:w="2219"/>
      </w:tblGrid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работы над проектом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будет делать учащийся</w:t>
            </w:r>
          </w:p>
        </w:tc>
      </w:tr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Неявно сформулированная цель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выделение, формулировка и «присвоение» учащимся проблемы. Название проекта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Целеполагание и ожидаемый результат. (Достижение цели должно способствовать решению проблемы проекта)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vMerge w:val="restart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Планирование</w:t>
            </w:r>
          </w:p>
        </w:tc>
        <w:tc>
          <w:tcPr>
            <w:tcW w:w="0" w:type="auto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Постановка задач, исходящих из цели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vMerge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последовательности предстоящих шагов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vMerge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 способов работы (технологии)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Реализация плана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Рефлексия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A209A" w:rsidRPr="00EC23F0" w:rsidTr="00EC23F0">
        <w:tc>
          <w:tcPr>
            <w:tcW w:w="0" w:type="auto"/>
            <w:gridSpan w:val="2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 Презентация</w:t>
            </w:r>
          </w:p>
        </w:tc>
        <w:tc>
          <w:tcPr>
            <w:tcW w:w="2219" w:type="dxa"/>
            <w:hideMark/>
          </w:tcPr>
          <w:p w:rsidR="000A209A" w:rsidRPr="00EC23F0" w:rsidRDefault="000A209A" w:rsidP="00EC23F0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3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5A265B" w:rsidRPr="00EC23F0" w:rsidRDefault="005A265B" w:rsidP="00EC23F0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</w:p>
    <w:sectPr w:rsidR="005A265B" w:rsidRPr="00EC23F0" w:rsidSect="00EC23F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A"/>
    <w:rsid w:val="00085E97"/>
    <w:rsid w:val="000A209A"/>
    <w:rsid w:val="0024615A"/>
    <w:rsid w:val="00443522"/>
    <w:rsid w:val="005A265B"/>
    <w:rsid w:val="007B2DC2"/>
    <w:rsid w:val="00911AFB"/>
    <w:rsid w:val="00EC23F0"/>
    <w:rsid w:val="00F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2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2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69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68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2021-11-22T17:07:00Z</cp:lastPrinted>
  <dcterms:created xsi:type="dcterms:W3CDTF">2021-11-21T08:19:00Z</dcterms:created>
  <dcterms:modified xsi:type="dcterms:W3CDTF">2021-11-22T18:09:00Z</dcterms:modified>
</cp:coreProperties>
</file>