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C4149" w:rsidRPr="00F61C26" w:rsidRDefault="005C4149" w:rsidP="005C41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Муниципальное </w:t>
      </w:r>
      <w:r w:rsidR="0058046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бюджетное</w:t>
      </w: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общеобразовательное учреждение</w:t>
      </w:r>
    </w:p>
    <w:p w:rsidR="005C4149" w:rsidRDefault="005C4149" w:rsidP="00B06A0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«Средняя общеобразовательная школа №12»</w:t>
      </w:r>
    </w:p>
    <w:p w:rsidR="00B06A03" w:rsidRPr="00B06A03" w:rsidRDefault="00B06A03" w:rsidP="00B06A03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</w:p>
    <w:p w:rsidR="005C4149" w:rsidRDefault="005C4149" w:rsidP="005C41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</w:pPr>
      <w:r w:rsidRPr="00F61C26"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  <w:t>О</w:t>
      </w:r>
      <w:bookmarkStart w:id="0" w:name="_GoBack"/>
      <w:bookmarkEnd w:id="0"/>
      <w:r w:rsidRPr="00F61C26">
        <w:rPr>
          <w:rFonts w:ascii="Times New Roman" w:eastAsia="Times New Roman" w:hAnsi="Times New Roman" w:cs="Times New Roman"/>
          <w:b/>
          <w:bCs/>
          <w:spacing w:val="12"/>
          <w:sz w:val="72"/>
          <w:szCs w:val="72"/>
          <w:lang w:eastAsia="ru-RU"/>
        </w:rPr>
        <w:t>бучающий семинар</w:t>
      </w:r>
    </w:p>
    <w:p w:rsidR="00B06A03" w:rsidRDefault="00B06A03" w:rsidP="005C41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eastAsia="ru-RU"/>
        </w:rPr>
      </w:pPr>
    </w:p>
    <w:p w:rsidR="00B06A03" w:rsidRPr="00B06A03" w:rsidRDefault="00F94732" w:rsidP="005C41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16"/>
          <w:szCs w:val="16"/>
          <w:lang w:eastAsia="ru-RU"/>
        </w:rPr>
      </w:pPr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7CC65D" wp14:editId="0ED2B335">
                <wp:simplePos x="0" y="0"/>
                <wp:positionH relativeFrom="column">
                  <wp:posOffset>-99060</wp:posOffset>
                </wp:positionH>
                <wp:positionV relativeFrom="paragraph">
                  <wp:posOffset>178435</wp:posOffset>
                </wp:positionV>
                <wp:extent cx="5791200" cy="1828800"/>
                <wp:effectExtent l="0" t="0" r="0" b="0"/>
                <wp:wrapSquare wrapText="bothSides"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912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C4149" w:rsidRPr="00F94732" w:rsidRDefault="005C4149" w:rsidP="005C4149">
                            <w:pPr>
                              <w:shd w:val="clear" w:color="auto" w:fill="FFFFFF"/>
                              <w:spacing w:before="100" w:beforeAutospacing="1" w:after="100" w:afterAutospacing="1" w:line="420" w:lineRule="atLeast"/>
                              <w:jc w:val="center"/>
                              <w:outlineLvl w:val="1"/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aps/>
                                <w:color w:val="E36C0A" w:themeColor="accent6" w:themeShade="BF"/>
                                <w:sz w:val="56"/>
                                <w:szCs w:val="56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</w:pPr>
                            <w:r w:rsidRPr="00F94732">
                              <w:rPr>
                                <w:rFonts w:ascii="Comic Sans MS" w:eastAsia="Times New Roman" w:hAnsi="Comic Sans MS" w:cs="Helvetica"/>
                                <w:b/>
                                <w:bCs/>
                                <w:caps/>
                                <w:color w:val="E36C0A" w:themeColor="accent6" w:themeShade="BF"/>
                                <w:sz w:val="56"/>
                                <w:szCs w:val="56"/>
                                <w:lang w:eastAsia="ru-RU"/>
                                <w14:reflection w14:blurRad="12700" w14:stA="50000" w14:stPos="0" w14:endA="0" w14:endPos="50000" w14:dist="5003" w14:dir="5400000" w14:fadeDir="5400000" w14:sx="100000" w14:sy="-100000" w14:kx="0" w14:ky="0" w14:algn="b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  <w14:props3d w14:extrusionH="0" w14:contourW="6350" w14:prstMaterial="metal">
                                  <w14:bevelT w14:w="127000" w14:h="31750" w14:prst="relaxedInset"/>
                                  <w14:contourClr>
                                    <w14:schemeClr w14:val="accent1">
                                      <w14:shade w14:val="75000"/>
                                    </w14:schemeClr>
                                  </w14:contourClr>
                                </w14:props3d>
                              </w:rPr>
                              <w:t>"Критериальное оценивание в проектной деятельности"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  <a:scene3d>
                          <a:camera prst="orthographicFront">
                            <a:rot lat="0" lon="0" rev="0"/>
                          </a:camera>
                          <a:lightRig rig="contrasting" dir="t">
                            <a:rot lat="0" lon="0" rev="4500000"/>
                          </a:lightRig>
                        </a:scene3d>
                        <a:sp3d contourW="6350" prstMaterial="metal">
                          <a:bevelT w="127000" h="31750" prst="relaxedInset"/>
                          <a:contourClr>
                            <a:schemeClr val="accent1">
                              <a:shade val="75000"/>
                            </a:schemeClr>
                          </a:contourClr>
                        </a:sp3d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-7.8pt;margin-top:14.05pt;width:456pt;height:2in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" filled="f" stroked="f">
                <v:textbox>
                  <w:txbxContent>
                    <w:p w:rsidR="005C4149" w:rsidRPr="00F94732" w:rsidRDefault="005C4149" w:rsidP="005C4149">
                      <w:pPr>
                        <w:shd w:val="clear" w:color="auto" w:fill="FFFFFF"/>
                        <w:spacing w:before="100" w:beforeAutospacing="1" w:after="100" w:afterAutospacing="1" w:line="420" w:lineRule="atLeast"/>
                        <w:jc w:val="center"/>
                        <w:outlineLvl w:val="1"/>
                        <w:rPr>
                          <w:rFonts w:ascii="Comic Sans MS" w:eastAsia="Times New Roman" w:hAnsi="Comic Sans MS" w:cs="Helvetica"/>
                          <w:b/>
                          <w:bCs/>
                          <w:caps/>
                          <w:color w:val="E36C0A" w:themeColor="accent6" w:themeShade="BF"/>
                          <w:sz w:val="56"/>
                          <w:szCs w:val="56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</w:pPr>
                      <w:r w:rsidRPr="00F94732">
                        <w:rPr>
                          <w:rFonts w:ascii="Comic Sans MS" w:eastAsia="Times New Roman" w:hAnsi="Comic Sans MS" w:cs="Helvetica"/>
                          <w:b/>
                          <w:bCs/>
                          <w:caps/>
                          <w:color w:val="E36C0A" w:themeColor="accent6" w:themeShade="BF"/>
                          <w:sz w:val="56"/>
                          <w:szCs w:val="56"/>
                          <w:lang w:eastAsia="ru-RU"/>
                          <w14:reflection w14:blurRad="12700" w14:stA="50000" w14:stPos="0" w14:endA="0" w14:endPos="50000" w14:dist="5003" w14:dir="5400000" w14:fadeDir="5400000" w14:sx="100000" w14:sy="-100000" w14:kx="0" w14:ky="0" w14:algn="b"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  <w14:props3d w14:extrusionH="0" w14:contourW="6350" w14:prstMaterial="metal">
                            <w14:bevelT w14:w="127000" w14:h="31750" w14:prst="relaxedInset"/>
                            <w14:contourClr>
                              <w14:schemeClr w14:val="accent1">
                                <w14:shade w14:val="75000"/>
                              </w14:schemeClr>
                            </w14:contourClr>
                          </w14:props3d>
                        </w:rPr>
                        <w:t>"Критериальное оценивание в проектной деятельности"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B06A03" w:rsidRDefault="00B06A03" w:rsidP="005C41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</w:pPr>
    </w:p>
    <w:p w:rsidR="0032630D" w:rsidRDefault="0032630D" w:rsidP="005C41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pacing w:val="12"/>
          <w:sz w:val="28"/>
          <w:szCs w:val="28"/>
          <w:lang w:eastAsia="ru-RU"/>
        </w:rPr>
        <w:drawing>
          <wp:inline distT="0" distB="0" distL="0" distR="0" wp14:anchorId="40EEB2E8" wp14:editId="2052560F">
            <wp:extent cx="4124325" cy="3093131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5e5dc5f8-e7bd-4417-a5f5-21614442fe0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9307" cy="309686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32630D" w:rsidRPr="00B06A03" w:rsidRDefault="0032630D" w:rsidP="005C4149">
      <w:pPr>
        <w:shd w:val="clear" w:color="auto" w:fill="FFFFFF"/>
        <w:spacing w:after="0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32"/>
          <w:szCs w:val="32"/>
          <w:lang w:eastAsia="ru-RU"/>
        </w:rPr>
      </w:pPr>
    </w:p>
    <w:p w:rsidR="005C4149" w:rsidRPr="00374F99" w:rsidRDefault="005C4149" w:rsidP="005C4149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Подготовила и провела:</w:t>
      </w:r>
    </w:p>
    <w:p w:rsidR="005C4149" w:rsidRPr="00B06A03" w:rsidRDefault="005C4149" w:rsidP="00B06A03">
      <w:pPr>
        <w:shd w:val="clear" w:color="auto" w:fill="FFFFFF"/>
        <w:spacing w:before="100" w:beforeAutospacing="1" w:after="100" w:afterAutospacing="1" w:line="240" w:lineRule="auto"/>
        <w:jc w:val="right"/>
        <w:outlineLvl w:val="1"/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</w:pPr>
      <w:proofErr w:type="spellStart"/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Шамхалова</w:t>
      </w:r>
      <w:proofErr w:type="spellEnd"/>
      <w:r w:rsidRPr="00374F99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 xml:space="preserve"> С.Р. зам. директора по </w:t>
      </w:r>
      <w:r w:rsidR="00580467">
        <w:rPr>
          <w:rFonts w:ascii="Times New Roman" w:eastAsia="Times New Roman" w:hAnsi="Times New Roman" w:cs="Times New Roman"/>
          <w:b/>
          <w:bCs/>
          <w:spacing w:val="12"/>
          <w:sz w:val="28"/>
          <w:szCs w:val="28"/>
          <w:lang w:eastAsia="ru-RU"/>
        </w:rPr>
        <w:t>УВР</w:t>
      </w:r>
    </w:p>
    <w:p w:rsidR="005C4149" w:rsidRDefault="005C4149" w:rsidP="005C4149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</w:p>
    <w:p w:rsidR="005C4149" w:rsidRPr="005C4149" w:rsidRDefault="005C4149" w:rsidP="005C4149">
      <w:pPr>
        <w:shd w:val="clear" w:color="auto" w:fill="FFFFFF"/>
        <w:spacing w:before="100" w:beforeAutospacing="1" w:after="100" w:afterAutospacing="1" w:line="420" w:lineRule="atLeast"/>
        <w:jc w:val="center"/>
        <w:outlineLvl w:val="1"/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Избербаш 20</w:t>
      </w:r>
      <w:r w:rsidR="00B41246"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>20</w:t>
      </w:r>
      <w:r>
        <w:rPr>
          <w:rFonts w:ascii="Times New Roman" w:eastAsia="Times New Roman" w:hAnsi="Times New Roman" w:cs="Times New Roman"/>
          <w:b/>
          <w:bCs/>
          <w:spacing w:val="12"/>
          <w:sz w:val="24"/>
          <w:szCs w:val="24"/>
          <w:lang w:eastAsia="ru-RU"/>
        </w:rPr>
        <w:t xml:space="preserve"> </w:t>
      </w:r>
    </w:p>
    <w:p w:rsidR="00707412" w:rsidRPr="005C4149" w:rsidRDefault="00707412" w:rsidP="005C4149">
      <w:pPr>
        <w:rPr>
          <w:rFonts w:ascii="Times New Roman" w:hAnsi="Times New Roman" w:cs="Times New Roman"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К сведению ведущего:</w:t>
      </w:r>
      <w:r w:rsidRPr="005C4149">
        <w:rPr>
          <w:rFonts w:ascii="Times New Roman" w:hAnsi="Times New Roman" w:cs="Times New Roman"/>
          <w:sz w:val="24"/>
          <w:szCs w:val="24"/>
          <w:lang w:eastAsia="ru-RU"/>
        </w:rPr>
        <w:t> данный семинар имеет продолжительность около двух астрономических часов.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Цель: дать участникам практический опыт применения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критериального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оценивания.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Оборудование: демонстрационный материал — «Критерий «Качество проектного продукта», «Таблица перевода технических баллов в проценты и в отметки» (см. текст занятия).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Раздаточный материал — «Те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кст дл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 работы», «Таблица для оценивания», «Критерии оценивания работы», «Протокол экспертной оценки» (см. текст занятия).</w:t>
      </w:r>
    </w:p>
    <w:p w:rsidR="00707412" w:rsidRPr="005C4149" w:rsidRDefault="00707412" w:rsidP="005C4149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ХОД ЗАНЯТИЯ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Обсуждение домашнего задания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В ходе обсуждения домашнего задания ведущий обращает внимание на то, что критерии полностью отражают те приращения в знаниях, умениях и навыках, которые должны сформироваться у учащегося в ходе работы.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Критериальный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подход к оцениванию проектов позволяет сравнивать достижения учащихся с заранее определенным эталоном.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Ведущий еще раз напоминает, что такое критерии и дескрипторы (см. глоссарий к семинару № 5) и что с их помощью оценивается только то, чему обучался ребенок в ходе работы над проектом.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Далее участники сравнивают критерии оценивания проектов 5–6-классников и 7–8-классников. Необходимо подчеркнуть, что критерий «Анализ хода и результата работы, выводы и перспективы» в критериях для учащихся 5–6-х классов отсутствует. Это обусловлено возрастными возможностями детей (см. семинар № 3) — предложить участникам подумать, почему. Обобщая высказывания участников подчеркнуть, что 10–11-летние дети не обладают достаточным уровнем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сформированности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рефлексивных навыков (навыков самоанализа и самооценки). Это не значит, что они не должны учиться анализировать свою работу, давать оценку достигнутым результатам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акое требование предъявляется к ним, но выполнять это они могут пока лишь с помощью учителя. Именно по этой причине критерий «Анализ…» отсутствует среди критериев оценивания проектов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5–6-классников.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То же касается критериев «Постановка и обоснование проблемы проекта» и «Соответствие выбранных способов работы цели и содержанию проекта» для 7–8-классников. Дети этого возраста все еще часто нуждаются в помощи учителя на этапе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проблематизации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Также серьезную трудность представляет для них самостоятельный выбор подходящих способов работы (см. семинар № 3). Поэтому оценивать эти умения и навыки пока рано.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Что касается 9–10-классников, то они могут полностью самостоятельно выполнить практически всю работу в рамках проекта, поэтому к ним предъявляются требования в полном объеме, что и находит свое отражение в перечне критериев оценивания их работ.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пользоваться критериями оценивания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Далее ведущий рассказывает, как пользоваться критериями при оценивании проектов. Для этого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используется раздаточный материл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домашнему заданию семинара № 5 и демонстрационный материал (см. ниже).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Критерий «Качество проектного продукта»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(демонстрационный материал)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696"/>
        <w:gridCol w:w="1875"/>
      </w:tblGrid>
      <w:tr w:rsidR="00707412" w:rsidRPr="005C4149" w:rsidTr="005C4149">
        <w:tc>
          <w:tcPr>
            <w:tcW w:w="0" w:type="auto"/>
            <w:gridSpan w:val="2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Критерий «Качество проектного продукта»</w:t>
            </w: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br/>
              <w:t>(максимум 3 балла)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Дескрипторы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Технические </w:t>
            </w: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баллы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lastRenderedPageBreak/>
              <w:t>Проектный продукт отсутствует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Проектный продукт не соответствует требованиям качества (эстетика, удобство использования, соответствие заявленным целям)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Продукт не полностью соответствует требованиям качества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Продукт полностью соответствует требованиям качества (эстетичен, удобен в использовании, соответствует заявленным целям)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</w:tbl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Каждый критерий рассматривается так: читаются все дескрипторы от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меньшего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к большему (сверху вниз). Когда оценщики доходят до того дескриптора, который в большей степени соответствует достигнутому уровню, они выбирают технический балл данного дескриптора. Например, если проектный продукт «не полностью соответствует требованиям качества», то по данному критерию будут выставлены 2 балла.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Все технические баллы, полученные по всем критериям, суммируются и переводятся в проценты, а после этого в отметку.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Например: максимальный балл для 5–6-х классов = 21. Это 100% и пятерка. Общая таблица перевода технических баллов в процентах и в отметки выглядит так.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перевода технических баллов в проценты и в отметки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(демонстрационный материал)</w:t>
      </w:r>
    </w:p>
    <w:tbl>
      <w:tblPr>
        <w:tblStyle w:val="a3"/>
        <w:tblW w:w="3750" w:type="dxa"/>
        <w:tblLook w:val="04A0" w:firstRow="1" w:lastRow="0" w:firstColumn="1" w:lastColumn="0" w:noHBand="0" w:noVBand="1"/>
      </w:tblPr>
      <w:tblGrid>
        <w:gridCol w:w="2183"/>
        <w:gridCol w:w="1567"/>
      </w:tblGrid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Проценты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Отметки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до 40 %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41 до 70%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71 до 95%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4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От 96 до 100%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5</w:t>
            </w:r>
          </w:p>
        </w:tc>
      </w:tr>
    </w:tbl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Итак, максимальное количество технических баллов, равное 100% и оцениваемое отметкой «5»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для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: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5–6-х классов = 21,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7–8-х классов = 24,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9–10-х классов = 30.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Далее подсчитывается сумма реально полученных учеником баллов, высчитывается процент, которому соответствует данная сумма баллов, и по таблице выбирается нужная отметка.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Так, если 7-классник набрал сумму в 20 технических баллов, то это соответствует 83 % от максимального количества технических баллов для 7–8-х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классов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он получит отметку «4».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Может быть, такая система оценивания покажется громоздкой, но, согласитесь, проект — очень сложная работа, которую нельзя оценивать обычной школьной отметкой.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Отметка, полученная в результате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критериального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оценивания, показывает не только общий уровень работы, но и указывает на то, что сделано очень хорошо (по этим критериям стоят высшие баллы), и на то, что необходимо усовершенствовать (по этим критериям стоят более низкие баллы). Все это ясно видно и ученику, и учителю. При применении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критериального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оценивания, как правило, не возникает проблем и разногласий по поводу итоговой оценки, так как она хорошо обоснована.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Одинаковая трактовка всеми участниками проектной деятельности формулировки критериев, общее для всех понимание смысла этих формулировок — необходимо, но на первых порах трудно. Для достижения этого применяется процесс стандартизации. В самом начале работы и дети и учителя знакомятся с критериями, обсуждают разночтения и вносят необходимые и понятные всем поправки в формулировки. После того как все разногласия и неточности будут 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устранены, критерии становятся «законом», который четко и однозначно регламентирует всю работу.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Деловая игра для учителей «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Критериальное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оценивание»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 xml:space="preserve">(знакомство с технологией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критериального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оценивания)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Далее семинар проходит в форме деловой игры. Использованы материалы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Н.В.Любомирской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А.В.Белова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1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Каждый участник получает текст, подписывает его псевдонимом или кодом и выполняет предложенные задания.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кст дл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я работы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(раздаточный материал)</w:t>
      </w:r>
    </w:p>
    <w:tbl>
      <w:tblPr>
        <w:tblStyle w:val="a3"/>
        <w:tblW w:w="2820" w:type="dxa"/>
        <w:tblLook w:val="04A0" w:firstRow="1" w:lastRow="0" w:firstColumn="1" w:lastColumn="0" w:noHBand="0" w:noVBand="1"/>
      </w:tblPr>
      <w:tblGrid>
        <w:gridCol w:w="2820"/>
      </w:tblGrid>
      <w:tr w:rsidR="00707412" w:rsidRPr="005C4149" w:rsidTr="005C4149">
        <w:trPr>
          <w:trHeight w:val="420"/>
        </w:trPr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 участника:</w:t>
            </w:r>
          </w:p>
        </w:tc>
      </w:tr>
    </w:tbl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1. Прочитайте текст и составьте к нему не менее пяти тезисов. (Тезис — это основная мысль части текста.)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Может ли сегодняшний педагог различить среди поведенческих проявлений воспитанников такие, которые обусловлены его собственной (педагога) деятельностью, и те, которые являются результатом естественного взросления воспитанников? В современной школе отсутствуют критерии отделения результатов деятельности воспитателя от результатов процесса созревания и роста, взросления и социализации. Похоже, что в школе нет специальной деятельности воспитания. Воспитание протекает стихийно или же заменяется обучением.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Теории и методы обучения уже разработаны, и когда проблемы воспитания возникают на уровне целых поколений, школе легче внедрить новый учебный предмет, нежели меняться самой и менять жизнь учеников так, чтобы это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имело воспитательный эффект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. Когда в Советском Союзе на протяжении нескольких поколений была замечена утрата семейных ценностей, вместо того чтобы пересмотреть отношения школы и семьи — хотя бы на школьном уровне, где тоже может происходить усвоение ценности института семьи, — был введен новый предмет для старшеклассников «Этика и психология семейной жизни». Та же история произошла с дефицитом правосознания: школа пошла не по пути уменьшения авторитарности и организации самоуправления учащихся, а просто ввела в программу еще один учебный предмет —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граждановедение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. В результате — вместо повышения правосознания или усвоения семейных ценностей происходит, по меткому выражению Винни Пуха, «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оболдевание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знаниями». Именно эта постоянная подмена задач воспитания задачами обучения и служит основанием для постоянной критики в адрес школы: она не развивает, не формирует личность, а все сводит к усвоению знаний. Суть такой критики относится к неправильному соотношению обучения и воспитания. Современная российская школа, к сожалению, повторяет ту же ошибку.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Теперь собственно об обучении. Поскольку деятельность обучения хорошо прописана в дидактике, мы скажем только об одном моменте, который обычно игнорируется. В понятии «обучение» обычно смешиваются два принципиально разных процесса — собственно обучение (процесс работы учителя по передаче знаний) и учение (процесс работы ученика по усвоению знаний). Центральным общим понятием для той и другой работы является понятие «знания», при этом техники и средства работы являются совершенно разными. Если технические средства работы учителя, то есть процесс собственно обучения, достаточно оснащен методически, то техники и средства работы ученика, то есть процесс учения, полностью лишен такого методического оснащения. Это становится очевидным, когда учиться приходится самим учителям. Хорошо владея способами работы по передаче знаний, они не 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владеют способами работы по усвоению знаний — учителя совершенно не умеют учиться, особенно учиться самостоятельно!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2. Создайте собственный текст из трех предложений по проблеме ЕГЭ со следующей структурой: тезис — аргумент — иллюстрация.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Тезис: Я думаю, что…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Аргумент: Потому что…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Иллюстрация: Например…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Задание 3. Предложите два аргумента «за» и два аргумента «против» следующего тезиса: «Современные дети перегружены учебой в школе».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ЧАСТЬ 2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Участникам раздаются таблицы для оценивания и в строке «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Самооценивание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» предлагается выставить себе оценки за проделанную работу.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Таблица для оценивания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166"/>
        <w:gridCol w:w="1537"/>
        <w:gridCol w:w="2091"/>
        <w:gridCol w:w="2256"/>
      </w:tblGrid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Вид оценки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Тезирование</w:t>
            </w:r>
            <w:proofErr w:type="spellEnd"/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текста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Аргументирование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Самооценивание</w:t>
            </w:r>
            <w:proofErr w:type="spellEnd"/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Оценка экспертов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  <w:tr w:rsidR="00707412" w:rsidRPr="005C4149" w:rsidTr="005C4149"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Итоговая оценка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Как правило, в этот момент возникает недоумение: как оценивать, что считать отличной работой, какой балл является максимальным, и тому подобное. Иными словами, речь заходит о критериях оценивания. Можно обсудить с участниками, какие знания, умения и навыки формировались в данной работе, соответственно какими могли бы быть критерии ее оценивания. Затем ведущий раздает участникам критерии оценивания данной работы (см. ниже) и сообщает, что оценивать данную работу надо по этим критериям.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Критерии оценивания работы</w:t>
      </w: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br/>
        <w:t>(раздаточный материал)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2093"/>
        <w:gridCol w:w="6576"/>
        <w:gridCol w:w="902"/>
      </w:tblGrid>
      <w:tr w:rsidR="00707412" w:rsidRPr="005C4149" w:rsidTr="005C4149">
        <w:tc>
          <w:tcPr>
            <w:tcW w:w="2093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Критерии</w:t>
            </w: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Дескрипторы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Баллы</w:t>
            </w:r>
          </w:p>
        </w:tc>
      </w:tr>
      <w:tr w:rsidR="00707412" w:rsidRPr="005C4149" w:rsidTr="005C4149">
        <w:tc>
          <w:tcPr>
            <w:tcW w:w="2093" w:type="dxa"/>
            <w:vMerge w:val="restart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1. Составление тезисов</w:t>
            </w: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 xml:space="preserve">Все тезисы отражают все существенные мысли текста и отвечают правилам </w:t>
            </w:r>
            <w:proofErr w:type="spellStart"/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тезирования</w:t>
            </w:r>
            <w:proofErr w:type="spellEnd"/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Большинство тезисов отражает существенные мысли текста, некоторые важные мысли текста не отражены в тезисах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Большинство тезисов не отражает существенных мыслей текста, большая часть важных мыслей не отражена в тезисах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 не выполнено, так как результат работы автора не является тезисами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07412" w:rsidRPr="005C4149" w:rsidTr="005C4149">
        <w:tc>
          <w:tcPr>
            <w:tcW w:w="2093" w:type="dxa"/>
            <w:vMerge w:val="restart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2. Создание текста по схеме: тезис — аргумент — иллюстрация</w:t>
            </w: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Приведены действительно тезис — аргумент — иллюстрация, и между ними существуют логические связи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Не все части суждения соответствуют своему названию (например, то, что автор считает аргументом, на самом деле является иллюстрацией), каких-то частей суждения нет, или нарушены логические связи (например, аргумент не соответствует данному тезису)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 не выполнено, так как результат работы совершенно не соответствует требованиям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  <w:tr w:rsidR="00707412" w:rsidRPr="005C4149" w:rsidTr="005C4149">
        <w:tc>
          <w:tcPr>
            <w:tcW w:w="2093" w:type="dxa"/>
            <w:vMerge w:val="restart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3. Аргументирование</w:t>
            </w: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Приведено не менее двух аргументов «за» и не менее двух аргументов «против»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3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Приведено меньшее количество аргументов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Приведены только односторонние аргументы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1</w:t>
            </w:r>
          </w:p>
        </w:tc>
      </w:tr>
      <w:tr w:rsidR="00707412" w:rsidRPr="005C4149" w:rsidTr="005C4149">
        <w:tc>
          <w:tcPr>
            <w:tcW w:w="2093" w:type="dxa"/>
            <w:vMerge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6576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Задание не выполнено</w:t>
            </w:r>
          </w:p>
        </w:tc>
        <w:tc>
          <w:tcPr>
            <w:tcW w:w="902" w:type="dxa"/>
            <w:hideMark/>
          </w:tcPr>
          <w:p w:rsidR="00707412" w:rsidRPr="005C4149" w:rsidRDefault="00707412" w:rsidP="005C4149">
            <w:pPr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0</w:t>
            </w:r>
          </w:p>
        </w:tc>
      </w:tr>
    </w:tbl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lastRenderedPageBreak/>
        <w:t>ЧАСТЬ 3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Далее участники делятся на несколько групп, которые должны дать экспертную оценку выполненным работам. Ведущий собирает все работы и делит их поровну между группами экспертов. Группы оценивают полученные работы по предложенным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критериям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и результаты заносят в «Протокол» (см. ниже):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Протокол экспертной оценки</w:t>
      </w:r>
    </w:p>
    <w:tbl>
      <w:tblPr>
        <w:tblW w:w="0" w:type="auto"/>
        <w:jc w:val="center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40"/>
        <w:gridCol w:w="1736"/>
        <w:gridCol w:w="1441"/>
        <w:gridCol w:w="1995"/>
        <w:gridCol w:w="2160"/>
      </w:tblGrid>
      <w:tr w:rsidR="00707412" w:rsidRPr="005C4149" w:rsidTr="007074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Код участника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proofErr w:type="spellStart"/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Тезирование</w:t>
            </w:r>
            <w:proofErr w:type="spellEnd"/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Создание текста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vAlign w:val="center"/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Аргументирование</w:t>
            </w:r>
          </w:p>
        </w:tc>
      </w:tr>
      <w:tr w:rsidR="00707412" w:rsidRPr="005C4149" w:rsidTr="00707412">
        <w:trPr>
          <w:tblCellSpacing w:w="0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707412" w:rsidRPr="005C4149" w:rsidRDefault="00707412" w:rsidP="005C4149">
            <w:pPr>
              <w:spacing w:after="0" w:line="240" w:lineRule="auto"/>
              <w:contextualSpacing/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</w:pPr>
            <w:r w:rsidRPr="005C4149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  <w:lang w:eastAsia="ru-RU"/>
              </w:rPr>
              <w:t> </w:t>
            </w:r>
          </w:p>
        </w:tc>
      </w:tr>
    </w:tbl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По завершении работы экспертных групп ведущий собирает все «Протоколы» и зачитывает баллы, выставленные экспертами. Участники вносят полученные ими баллы в свои «Таблицы оценивания» в строку «Оценка экспертов» и сравнивают баллы, которые они выставили себе сами, с баллами, выставленными им экспертами. Желающие могут задать вопросы экспертам, если их собственные баллы не совпадают с баллами экспертов.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По завершении обсуждения ведущий еще раз подчеркивает, что применение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критериального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оценивания снижает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стрессогенность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процесса оценивания, поскольку всем участникам заранее ясны все критерии и при возникновении разногласия их легко </w:t>
      </w:r>
      <w:proofErr w:type="gram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уладить</w:t>
      </w:r>
      <w:proofErr w:type="gram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опираясь на общие представления об эталоне работы.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Кроме того,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критериальное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оценивание способствует развитию адекватной самооценки, так как дает возможность сравнить собственную точку зрения на свою работу с другой точкой зрения.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Критериальное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 xml:space="preserve"> оценивание позволяет организовать в классе </w:t>
      </w:r>
      <w:proofErr w:type="spellStart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взаимооценивание</w:t>
      </w:r>
      <w:proofErr w:type="spellEnd"/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, что особенно важно для подростков, которые очень нуждаются в обратной связи с одноклассниками.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Домашнее задание</w:t>
      </w:r>
    </w:p>
    <w:p w:rsidR="00707412" w:rsidRPr="005C4149" w:rsidRDefault="00707412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  <w:r w:rsidRPr="005C4149"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  <w:t>Участникам предлагается еще раз просмотреть материалы всех прошедших семинаров и подготовить вопросы, если они появятся. Следующий семинар — завершающий и будет посвящен отработке полученного опыта.</w:t>
      </w:r>
    </w:p>
    <w:p w:rsidR="005A265B" w:rsidRPr="005C4149" w:rsidRDefault="005A265B" w:rsidP="005C4149">
      <w:pPr>
        <w:spacing w:after="0"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eastAsia="ru-RU"/>
        </w:rPr>
      </w:pPr>
    </w:p>
    <w:sectPr w:rsidR="005A265B" w:rsidRPr="005C4149" w:rsidSect="005C4149">
      <w:pgSz w:w="11906" w:h="16838"/>
      <w:pgMar w:top="1134" w:right="850" w:bottom="1134" w:left="1701" w:header="708" w:footer="708" w:gutter="0"/>
      <w:pgBorders w:offsetFrom="page">
        <w:top w:val="crazyMaze" w:sz="10" w:space="24" w:color="auto"/>
        <w:left w:val="crazyMaze" w:sz="10" w:space="24" w:color="auto"/>
        <w:bottom w:val="crazyMaze" w:sz="10" w:space="24" w:color="auto"/>
        <w:right w:val="crazyMaze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CC"/>
    <w:family w:val="script"/>
    <w:pitch w:val="variable"/>
    <w:sig w:usb0="00000287" w:usb1="00000013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412"/>
    <w:rsid w:val="0024615A"/>
    <w:rsid w:val="0032630D"/>
    <w:rsid w:val="00580467"/>
    <w:rsid w:val="00580F23"/>
    <w:rsid w:val="005A265B"/>
    <w:rsid w:val="005C4149"/>
    <w:rsid w:val="00707412"/>
    <w:rsid w:val="00B06A03"/>
    <w:rsid w:val="00B41246"/>
    <w:rsid w:val="00C37B62"/>
    <w:rsid w:val="00F9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630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414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B06A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6A03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32630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667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6</Pages>
  <Words>1956</Words>
  <Characters>11153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13083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DNS</dc:creator>
  <cp:lastModifiedBy>DNS</cp:lastModifiedBy>
  <cp:revision>9</cp:revision>
  <cp:lastPrinted>2021-11-23T02:32:00Z</cp:lastPrinted>
  <dcterms:created xsi:type="dcterms:W3CDTF">2021-11-21T08:14:00Z</dcterms:created>
  <dcterms:modified xsi:type="dcterms:W3CDTF">2021-11-23T02:35:00Z</dcterms:modified>
</cp:coreProperties>
</file>