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49" w:rsidRPr="00F61C26" w:rsidRDefault="005C4149" w:rsidP="005C41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Муниципальное </w:t>
      </w:r>
      <w:r w:rsidR="00580467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бюджетное</w:t>
      </w:r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 общеобразовательное учреждение</w:t>
      </w:r>
    </w:p>
    <w:p w:rsidR="005C4149" w:rsidRDefault="005C4149" w:rsidP="00B06A03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«Средняя общеобразовательная школа №12»</w:t>
      </w:r>
    </w:p>
    <w:p w:rsidR="00B06A03" w:rsidRPr="00B06A03" w:rsidRDefault="00B06A03" w:rsidP="00B06A03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</w:p>
    <w:p w:rsidR="005C4149" w:rsidRDefault="005C4149" w:rsidP="005C41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72"/>
          <w:szCs w:val="72"/>
          <w:lang w:eastAsia="ru-RU"/>
        </w:rPr>
      </w:pPr>
      <w:r w:rsidRPr="00F61C26">
        <w:rPr>
          <w:rFonts w:ascii="Times New Roman" w:eastAsia="Times New Roman" w:hAnsi="Times New Roman" w:cs="Times New Roman"/>
          <w:b/>
          <w:bCs/>
          <w:spacing w:val="12"/>
          <w:sz w:val="72"/>
          <w:szCs w:val="72"/>
          <w:lang w:eastAsia="ru-RU"/>
        </w:rPr>
        <w:t>О</w:t>
      </w:r>
      <w:bookmarkStart w:id="0" w:name="_GoBack"/>
      <w:bookmarkEnd w:id="0"/>
      <w:r w:rsidRPr="00F61C26">
        <w:rPr>
          <w:rFonts w:ascii="Times New Roman" w:eastAsia="Times New Roman" w:hAnsi="Times New Roman" w:cs="Times New Roman"/>
          <w:b/>
          <w:bCs/>
          <w:spacing w:val="12"/>
          <w:sz w:val="72"/>
          <w:szCs w:val="72"/>
          <w:lang w:eastAsia="ru-RU"/>
        </w:rPr>
        <w:t>бучающий семинар</w:t>
      </w:r>
    </w:p>
    <w:p w:rsidR="00B06A03" w:rsidRDefault="00B06A03" w:rsidP="005C41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  <w:lang w:eastAsia="ru-RU"/>
        </w:rPr>
      </w:pPr>
    </w:p>
    <w:p w:rsidR="00B06A03" w:rsidRPr="00B06A03" w:rsidRDefault="00F94732" w:rsidP="005C41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CC65D" wp14:editId="0ED2B335">
                <wp:simplePos x="0" y="0"/>
                <wp:positionH relativeFrom="column">
                  <wp:posOffset>-99060</wp:posOffset>
                </wp:positionH>
                <wp:positionV relativeFrom="paragraph">
                  <wp:posOffset>178435</wp:posOffset>
                </wp:positionV>
                <wp:extent cx="57912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4149" w:rsidRPr="00F94732" w:rsidRDefault="005C4149" w:rsidP="005C4149">
                            <w:pPr>
                              <w:shd w:val="clear" w:color="auto" w:fill="FFFFFF"/>
                              <w:spacing w:before="100" w:beforeAutospacing="1" w:after="100" w:afterAutospacing="1" w:line="420" w:lineRule="atLeast"/>
                              <w:jc w:val="center"/>
                              <w:outlineLvl w:val="1"/>
                              <w:rPr>
                                <w:rFonts w:ascii="Comic Sans MS" w:eastAsia="Times New Roman" w:hAnsi="Comic Sans MS" w:cs="Helvetica"/>
                                <w:b/>
                                <w:bCs/>
                                <w:caps/>
                                <w:color w:val="E36C0A" w:themeColor="accent6" w:themeShade="BF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4732">
                              <w:rPr>
                                <w:rFonts w:ascii="Comic Sans MS" w:eastAsia="Times New Roman" w:hAnsi="Comic Sans MS" w:cs="Helvetica"/>
                                <w:b/>
                                <w:bCs/>
                                <w:caps/>
                                <w:color w:val="E36C0A" w:themeColor="accent6" w:themeShade="BF"/>
                                <w:sz w:val="56"/>
                                <w:szCs w:val="56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"Критериальное оценивание в проектной деятельности"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7.8pt;margin-top:14.05pt;width:45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tQ6QIAANsFAAAOAAAAZHJzL2Uyb0RvYy54bWysVM1uEzEQviPxDpbvNNn8NOmqmyq0CkIq&#10;bUWLena83qwlr21sJ9nyMjwFJySeIY/EjL1JQ4ELIoeNPR5/nvm+zz6/aBtFNsJ5aXRBs5M+JUJz&#10;U0q9Kuinh8WbKSU+MF0yZbQo6JPw9GL2+tX51uZiYGqjSuEIgGifb21B6xBs3ut5XouG+RNjhYbF&#10;yriGBZi6Va90bAvojeoN+v3T3ta40jrDhfcQvUqLdBbxq0rwcFtVXgSiCgq1hfh18bvEb292zvKV&#10;Y7aWvCuD/UMVDZMaDj1AXbHAyNrJ36AayZ3xpgon3DQ9U1WSi9gDdJP1X3RzXzMrYi9AjrcHmvz/&#10;g+U3mztHZAnaUaJZAxLtvu5+7L7vvpEM2dlan0PSvYW00L41LWZ2cQ9BbLqtXIP/0A6BdeD56cCt&#10;aAPhEBxPzjIQjBIOa9l0MJ3CBHB6z9ut8+GdMA3BQUEdiBc5ZZtrH1LqPgVP02YhlYI4y5X+JQCY&#10;KSKiA7rd2EmqGEehXbZdG0tTPkF3ziR3eMsXEiq4Zj7cMQd2gKrB4uEWPpUy24KabkRJbdyXP8Ux&#10;H1SCVUq2YK+C+s9r5gQl6r0G/c6y0Qj9GCej8WQAE3e8sjxe0evm0oCDQSOoLg4xP6j9sHKmeYSb&#10;MMdTYYlpDmcXNOyHlyGZHm4SF/N5TAIHWhau9b3lCI0UIr8P7SNzthMhgH43Zm9Elr/QIuUm8ufr&#10;YCqJQrHcc6HFsMQhB1M51sEZF2rTXbeFMzoJDMwTxVLl8EzE4pzY4H+SPWEgmpKrOnyUK+IkPDAc&#10;EBzIBDefklLGhjHrr4CjcR9/HeweLLrwqGRvhyVBbLN2jwU9HY6BUqTmAwvCSQZKNCIwFSlbio1Q&#10;DwRckQ0miE3qgg6zyX4PGlmxVpQgqAh4MnCSsC9VvD7xsRMwIRuEZhzIC0kPX7NSpDAAHgo/7IiV&#10;H6OB9bF6iKPJk7O7CbwgMb2jH5+o43nMen6TZz8BAAD//wMAUEsDBBQABgAIAAAAIQCaB1ps3wAA&#10;AAoBAAAPAAAAZHJzL2Rvd25yZXYueG1sTI/LTsMwEEX3SPyDNUjsWtuljdKQSYVAbEGUh8TOjadJ&#10;RDyOYrcJf49ZwXJ0j+49U+5m14szjaHzjKCXCgRx7W3HDcLb6+MiBxGiYWt6z4TwTQF21eVFaQrr&#10;J36h8z42IpVwKAxCG+NQSBnqlpwJSz8Qp+zoR2diOsdG2tFMqdz1cqVUJp3pOC20ZqD7luqv/ckh&#10;vD8dPz/W6rl5cJth8rOS7LYS8fpqvrsFEWmOfzD86id1qJLTwZ/YBtEjLPQmSyjCKtcgEpBvszWI&#10;A8KNzjTIqpT/X6h+AAAA//8DAFBLAQItABQABgAIAAAAIQC2gziS/gAAAOEBAAATAAAAAAAAAAAA&#10;AAAAAAAAAABbQ29udGVudF9UeXBlc10ueG1sUEsBAi0AFAAGAAgAAAAhADj9If/WAAAAlAEAAAsA&#10;AAAAAAAAAAAAAAAALwEAAF9yZWxzLy5yZWxzUEsBAi0AFAAGAAgAAAAhAA/Hm1DpAgAA2wUAAA4A&#10;AAAAAAAAAAAAAAAALgIAAGRycy9lMm9Eb2MueG1sUEsBAi0AFAAGAAgAAAAhAJoHWmzfAAAACgEA&#10;AA8AAAAAAAAAAAAAAAAAQwUAAGRycy9kb3ducmV2LnhtbFBLBQYAAAAABAAEAPMAAABPBgAAAAA=&#10;" filled="f" stroked="f">
                <v:textbox>
                  <w:txbxContent>
                    <w:p w:rsidR="005C4149" w:rsidRPr="00F94732" w:rsidRDefault="005C4149" w:rsidP="005C4149">
                      <w:pPr>
                        <w:shd w:val="clear" w:color="auto" w:fill="FFFFFF"/>
                        <w:spacing w:before="100" w:beforeAutospacing="1" w:after="100" w:afterAutospacing="1" w:line="420" w:lineRule="atLeast"/>
                        <w:jc w:val="center"/>
                        <w:outlineLvl w:val="1"/>
                        <w:rPr>
                          <w:rFonts w:ascii="Comic Sans MS" w:eastAsia="Times New Roman" w:hAnsi="Comic Sans MS" w:cs="Helvetica"/>
                          <w:b/>
                          <w:bCs/>
                          <w:caps/>
                          <w:color w:val="E36C0A" w:themeColor="accent6" w:themeShade="BF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94732">
                        <w:rPr>
                          <w:rFonts w:ascii="Comic Sans MS" w:eastAsia="Times New Roman" w:hAnsi="Comic Sans MS" w:cs="Helvetica"/>
                          <w:b/>
                          <w:bCs/>
                          <w:caps/>
                          <w:color w:val="E36C0A" w:themeColor="accent6" w:themeShade="BF"/>
                          <w:sz w:val="56"/>
                          <w:szCs w:val="56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"Критериальное оценивание в проектной деятельности"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6A03" w:rsidRDefault="00B06A03" w:rsidP="005C41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  <w:lang w:eastAsia="ru-RU"/>
        </w:rPr>
      </w:pPr>
    </w:p>
    <w:p w:rsidR="0032630D" w:rsidRDefault="0032630D" w:rsidP="005C41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2"/>
          <w:sz w:val="28"/>
          <w:szCs w:val="28"/>
          <w:lang w:eastAsia="ru-RU"/>
        </w:rPr>
        <w:drawing>
          <wp:inline distT="0" distB="0" distL="0" distR="0" wp14:anchorId="40EEB2E8" wp14:editId="2052560F">
            <wp:extent cx="4124325" cy="30931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e5dc5f8-e7bd-4417-a5f5-21614442fe0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307" cy="30968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2630D" w:rsidRPr="00B06A03" w:rsidRDefault="0032630D" w:rsidP="005C414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32"/>
          <w:szCs w:val="32"/>
          <w:lang w:eastAsia="ru-RU"/>
        </w:rPr>
      </w:pPr>
    </w:p>
    <w:p w:rsidR="005C4149" w:rsidRPr="00374F99" w:rsidRDefault="005C4149" w:rsidP="005C4149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Подготовила и провела:</w:t>
      </w:r>
    </w:p>
    <w:p w:rsidR="005C4149" w:rsidRPr="00B06A03" w:rsidRDefault="005C4149" w:rsidP="00B06A03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proofErr w:type="spellStart"/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Шамхалова</w:t>
      </w:r>
      <w:proofErr w:type="spellEnd"/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 С.Р. зам. директора по </w:t>
      </w:r>
      <w:r w:rsidR="00580467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УВР</w:t>
      </w:r>
    </w:p>
    <w:p w:rsidR="005C4149" w:rsidRDefault="005C4149" w:rsidP="005C4149">
      <w:pPr>
        <w:shd w:val="clear" w:color="auto" w:fill="FFFFFF"/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</w:p>
    <w:p w:rsidR="005C4149" w:rsidRPr="005C4149" w:rsidRDefault="005C4149" w:rsidP="005C4149">
      <w:pPr>
        <w:shd w:val="clear" w:color="auto" w:fill="FFFFFF"/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Избербаш 20</w:t>
      </w:r>
      <w:r w:rsidR="00B41246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 xml:space="preserve"> </w:t>
      </w:r>
    </w:p>
    <w:p w:rsidR="00707412" w:rsidRPr="005C4149" w:rsidRDefault="00707412" w:rsidP="005C414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 сведению ведущего:</w:t>
      </w:r>
      <w:r w:rsidRPr="005C4149">
        <w:rPr>
          <w:rFonts w:ascii="Times New Roman" w:hAnsi="Times New Roman" w:cs="Times New Roman"/>
          <w:sz w:val="24"/>
          <w:szCs w:val="24"/>
          <w:lang w:eastAsia="ru-RU"/>
        </w:rPr>
        <w:t> данный семинар имеет продолжительность около двух астрономических часов.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Цель: дать участникам практический опыт применения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критериального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оценивания.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 демонстрационный материал — «Критерий «Качество проектного продукта», «Таблица перевода технических баллов в проценты и в отметки» (см. текст занятия).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Раздаточный материал — «Те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кст дл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я работы», «Таблица для оценивания», «Критерии оценивания работы», «Протокол экспертной оценки» (см. текст занятия).</w:t>
      </w:r>
    </w:p>
    <w:p w:rsidR="00707412" w:rsidRPr="005C4149" w:rsidRDefault="00707412" w:rsidP="005C41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ЗАНЯТИЯ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Обсуждение домашнего задания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ходе обсуждения домашнего задания ведущий обращает внимание на то, что критерии полностью отражают те приращения в знаниях, умениях и навыках, которые должны сформироваться у учащегося в ходе работы.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Критериальный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подход к оцениванию проектов позволяет сравнивать достижения учащихся с заранее определенным эталоном.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еще раз напоминает, что такое критерии и дескрипторы (см. глоссарий к семинару № 5) и что с их помощью оценивается только то, чему обучался ребенок в ходе работы над проектом.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Далее участники сравнивают критерии оценивания проектов 5–6-классников и 7–8-классников. Необходимо подчеркнуть, что критерий «Анализ хода и результата работы, выводы и перспективы» в критериях для учащихся 5–6-х классов отсутствует. Это обусловлено возрастными возможностями детей (см. семинар № 3) — предложить участникам подумать, почему. Обобщая высказывания участников подчеркнуть, что 10–11-летние дети не обладают достаточным уровнем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сформированности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рефлексивных навыков (навыков самоанализа и самооценки). Это не значит, что они не должны учиться анализировать свою работу, давать оценку достигнутым результатам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акое требование предъявляется к ним, но выполнять это они могут пока лишь с помощью учителя. Именно по этой причине критерий «Анализ…» отсутствует среди критериев оценивания проектов</w:t>
      </w: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5–6-классников.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То же касается критериев «Постановка и обоснование проблемы проекта» и «Соответствие выбранных способов работы цели и содержанию проекта» для 7–8-классников. Дети этого возраста все еще часто нуждаются в помощи учителя на этапе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проблематизации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 Также серьезную трудность представляет для них самостоятельный выбор подходящих способов работы (см. семинар № 3). Поэтому оценивать эти умения и навыки пока рано.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Что касается 9–10-классников, то они могут полностью самостоятельно выполнить практически всю работу в рамках проекта, поэтому к ним предъявляются требования в полном объеме, что и находит свое отражение в перечне критериев оценивания их работ.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пользоваться критериями оценивания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Далее ведущий рассказывает, как пользоваться критериями при оценивании проектов. Для этого 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используется раздаточный материл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 домашнему заданию семинара № 5 и демонстрационный материал (см. ниже).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Критерий «Качество проектного продукта»</w:t>
      </w: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(демонстрационный материал)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6"/>
        <w:gridCol w:w="1875"/>
      </w:tblGrid>
      <w:tr w:rsidR="00707412" w:rsidRPr="005C4149" w:rsidTr="005C4149">
        <w:tc>
          <w:tcPr>
            <w:tcW w:w="0" w:type="auto"/>
            <w:gridSpan w:val="2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Критерий «Качество проектного продукта»</w:t>
            </w: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(максимум 3 балла)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Дескрипторы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Технические </w:t>
            </w: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баллы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Проектный продукт отсутствует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Проектный продукт не соответствует требованиям качества (эстетика, удобство использования, соответствие заявленным целям)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Продукт не полностью соответствует требованиям качества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Каждый критерий рассматривается так: читаются все дескрипторы от 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меньшего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 большему (сверху вниз). Когда оценщики доходят до того дескриптора, который в большей степени соответствует достигнутому уровню, они выбирают технический балл данного дескриптора. Например, если проектный продукт «не полностью соответствует требованиям качества», то по данному критерию будут выставлены 2 балла.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Все технические баллы, полученные по всем критериям, суммируются и переводятся в проценты, а после этого в отметку.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Например: максимальный балл для 5–6-х классов = 21. Это 100% и пятерка. Общая таблица перевода технических баллов в процентах и в отметки выглядит так.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Таблица перевода технических баллов в проценты и в отметки</w:t>
      </w: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(демонстрационный материал)</w:t>
      </w:r>
    </w:p>
    <w:tbl>
      <w:tblPr>
        <w:tblStyle w:val="a3"/>
        <w:tblW w:w="3750" w:type="dxa"/>
        <w:tblLook w:val="04A0" w:firstRow="1" w:lastRow="0" w:firstColumn="1" w:lastColumn="0" w:noHBand="0" w:noVBand="1"/>
      </w:tblPr>
      <w:tblGrid>
        <w:gridCol w:w="2183"/>
        <w:gridCol w:w="1567"/>
      </w:tblGrid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Отметки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 до 40 %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 41 до 70%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 71 до 95%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 96 до 100%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</w:tbl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Итак, максимальное количество технических баллов, равное 100% и оцениваемое отметкой «5» 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для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5–6-х классов = 21,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7–8-х классов = 24,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9–10-х классов = 30.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Далее подсчитывается сумма реально полученных учеником баллов, высчитывается процент, которому соответствует данная сумма баллов, и по таблице выбирается нужная отметка.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Так, если 7-классник набрал сумму в 20 технических баллов, то это соответствует 83 % от максимального количества технических баллов для 7–8-х 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классов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он получит отметку «4».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Может быть, такая система оценивания покажется громоздкой, но, согласитесь, проект — очень сложная работа, которую нельзя оценивать обычной школьной отметкой.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Отметка, полученная в результате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критериального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оценивания, показывает не только общий уровень работы, но и указывает на то, что сделано очень хорошо (по этим критериям стоят высшие баллы), и на то, что необходимо усовершенствовать (по этим критериям стоят более низкие баллы). Все это ясно видно и ученику, и учителю. При применении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критериального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оценивания, как правило, не возникает проблем и разногласий по поводу итоговой оценки, так как она хорошо обоснована.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Одинаковая трактовка всеми участниками проектной деятельности формулировки критериев, общее для всех понимание смысла этих формулировок — необходимо, но на первых порах трудно. Для достижения этого применяется процесс стандартизации. В самом начале работы и дети и учителя знакомятся с критериями, обсуждают разночтения и вносят необходимые и понятные всем поправки в формулировки. После того как все разногласия и неточности будут </w:t>
      </w: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устранены, критерии становятся «законом», который четко и однозначно регламентирует всю работу.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Деловая игра для учителей «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Критериальное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оценивание»</w:t>
      </w: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(знакомство с технологией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критериального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оценивания)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Далее семинар проходит в форме деловой игры. Использованы материалы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Н.В.Любомирской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А.В.Белова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1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Каждый участник получает текст, подписывает его псевдонимом или кодом и выполняет предложенные задания.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Те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кст дл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я работы</w:t>
      </w: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(раздаточный материал)</w:t>
      </w:r>
    </w:p>
    <w:tbl>
      <w:tblPr>
        <w:tblStyle w:val="a3"/>
        <w:tblW w:w="2820" w:type="dxa"/>
        <w:tblLook w:val="04A0" w:firstRow="1" w:lastRow="0" w:firstColumn="1" w:lastColumn="0" w:noHBand="0" w:noVBand="1"/>
      </w:tblPr>
      <w:tblGrid>
        <w:gridCol w:w="2820"/>
      </w:tblGrid>
      <w:tr w:rsidR="00707412" w:rsidRPr="005C4149" w:rsidTr="005C4149">
        <w:trPr>
          <w:trHeight w:val="420"/>
        </w:trPr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участника:</w:t>
            </w:r>
          </w:p>
        </w:tc>
      </w:tr>
    </w:tbl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1. Прочитайте текст и составьте к нему не менее пяти тезисов. (Тезис — это основная мысль части текста.)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Может ли сегодняшний педагог различить среди поведенческих проявлений воспитанников такие, которые обусловлены его собственной (педагога) деятельностью, и те, которые являются результатом естественного взросления воспитанников? В современной школе отсутствуют критерии отделения результатов деятельности воспитателя от результатов процесса созревания и роста, взросления и социализации. Похоже, что в школе нет специальной деятельности воспитания. Воспитание протекает стихийно или же заменяется обучением.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Теории и методы обучения уже разработаны, и когда проблемы воспитания возникают на уровне целых поколений, школе легче внедрить новый учебный предмет, нежели меняться самой и менять жизнь учеников так, чтобы это 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имело воспитательный эффект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Когда в Советском Союзе на протяжении нескольких поколений была замечена утрата семейных ценностей, вместо того чтобы пересмотреть отношения школы и семьи — хотя бы на школьном уровне, где тоже может происходить усвоение ценности института семьи, — был введен новый предмет для старшеклассников «Этика и психология семейной жизни». Та же история произошла с дефицитом правосознания: школа пошла не по пути уменьшения авторитарности и организации самоуправления учащихся, а просто ввела в программу еще один учебный предмет —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граждановедение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 В результате — вместо повышения правосознания или усвоения семейных ценностей происходит, по меткому выражению Винни Пуха, «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оболдевание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знаниями». Именно эта постоянная подмена задач воспитания задачами обучения и служит основанием для постоянной критики в адрес школы: она не развивает, не формирует личность, а все сводит к усвоению знаний. Суть такой критики относится к неправильному соотношению обучения и воспитания. Современная российская школа, к сожалению, повторяет ту же ошибку.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Теперь собственно об обучении. Поскольку деятельность обучения хорошо прописана в дидактике, мы скажем только об одном моменте, который обычно игнорируется. В понятии «обучение» обычно смешиваются два принципиально разных процесса — собственно обучение (процесс работы учителя по передаче знаний) и учение (процесс работы ученика по усвоению знаний). Центральным общим понятием для той и другой работы является понятие «знания», при этом техники и средства работы являются совершенно разными. Если технические средства работы учителя, то есть процесс собственно обучения, достаточно оснащен методически, то техники и средства работы ученика, то есть процесс учения, полностью лишен такого методического оснащения. Это становится очевидным, когда учиться приходится самим учителям. Хорошо владея способами работы по передаче знаний, они не </w:t>
      </w: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владеют способами работы по усвоению знаний — учителя совершенно не умеют учиться, особенно учиться самостоятельно!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2. Создайте собственный текст из трех предложений по проблеме ЕГЭ со следующей структурой: тезис — аргумент — иллюстрация.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Тезис: Я думаю, что…</w:t>
      </w: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Аргумент: Потому что…</w:t>
      </w: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Иллюстрация: Например…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3. Предложите два аргумента «за» и два аргумента «против» следующего тезиса: «Современные дети перегружены учебой в школе».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2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Участникам раздаются таблицы для оценивания и в строке «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Самооценивание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» предлагается выставить себе оценки за проделанную работу.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Таблица для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6"/>
        <w:gridCol w:w="1537"/>
        <w:gridCol w:w="2091"/>
        <w:gridCol w:w="2256"/>
      </w:tblGrid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оценки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Тезирование</w:t>
            </w:r>
            <w:proofErr w:type="spellEnd"/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Создание текста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Аргументирование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Самооценивание</w:t>
            </w:r>
            <w:proofErr w:type="spellEnd"/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Оценка экспертов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07412" w:rsidRPr="005C4149" w:rsidTr="005C4149"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правило, в этот момент возникает недоумение: как оценивать, что считать отличной работой, какой балл является максимальным, и тому подобное. Иными словами, речь заходит о критериях оценивания. Можно обсудить с участниками, какие знания, умения и навыки формировались в данной работе, соответственно какими могли бы быть критерии ее оценивания. Затем ведущий раздает участникам критерии оценивания данной работы (см. ниже) и сообщает, что оценивать данную работу надо по этим критериям.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Критерии оценивания работы</w:t>
      </w: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(раздаточный материал)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576"/>
        <w:gridCol w:w="902"/>
      </w:tblGrid>
      <w:tr w:rsidR="00707412" w:rsidRPr="005C4149" w:rsidTr="005C4149">
        <w:tc>
          <w:tcPr>
            <w:tcW w:w="2093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Дескрипторы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Баллы</w:t>
            </w:r>
          </w:p>
        </w:tc>
      </w:tr>
      <w:tr w:rsidR="00707412" w:rsidRPr="005C4149" w:rsidTr="005C4149">
        <w:tc>
          <w:tcPr>
            <w:tcW w:w="2093" w:type="dxa"/>
            <w:vMerge w:val="restart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Составление тезисов</w:t>
            </w: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Все тезисы отражают все существенные мысли текста и отвечают правилам </w:t>
            </w:r>
            <w:proofErr w:type="spellStart"/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тезирования</w:t>
            </w:r>
            <w:proofErr w:type="spellEnd"/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707412" w:rsidRPr="005C4149" w:rsidTr="005C4149">
        <w:tc>
          <w:tcPr>
            <w:tcW w:w="2093" w:type="dxa"/>
            <w:vMerge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Большинство тезисов отражает существенные мысли текста, некоторые важные мысли текста не отражены в тезисах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07412" w:rsidRPr="005C4149" w:rsidTr="005C4149">
        <w:tc>
          <w:tcPr>
            <w:tcW w:w="2093" w:type="dxa"/>
            <w:vMerge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Большинство тезисов не отражает существенных мыслей текста, большая часть важных мыслей не отражена в тезисах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07412" w:rsidRPr="005C4149" w:rsidTr="005C4149">
        <w:tc>
          <w:tcPr>
            <w:tcW w:w="2093" w:type="dxa"/>
            <w:vMerge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 не выполнено, так как результат работы автора не является тезисами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707412" w:rsidRPr="005C4149" w:rsidTr="005C4149">
        <w:tc>
          <w:tcPr>
            <w:tcW w:w="2093" w:type="dxa"/>
            <w:vMerge w:val="restart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Создание текста по схеме: тезис — аргумент — иллюстрация</w:t>
            </w: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Приведены действительно тезис — аргумент — иллюстрация, и между ними существуют логические связи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07412" w:rsidRPr="005C4149" w:rsidTr="005C4149">
        <w:tc>
          <w:tcPr>
            <w:tcW w:w="2093" w:type="dxa"/>
            <w:vMerge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 все части суждения соответствуют своему названию (например, то, что автор считает аргументом, на самом деле является иллюстрацией), каких-то частей суждения нет, или нарушены логические связи (например, аргумент не соответствует данному тезису)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07412" w:rsidRPr="005C4149" w:rsidTr="005C4149">
        <w:tc>
          <w:tcPr>
            <w:tcW w:w="2093" w:type="dxa"/>
            <w:vMerge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 не выполнено, так как результат работы совершенно не соответствует требованиям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707412" w:rsidRPr="005C4149" w:rsidTr="005C4149">
        <w:tc>
          <w:tcPr>
            <w:tcW w:w="2093" w:type="dxa"/>
            <w:vMerge w:val="restart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 Аргументирование</w:t>
            </w: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Приведено не менее двух аргументов «за» и не менее двух аргументов «против»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707412" w:rsidRPr="005C4149" w:rsidTr="005C4149">
        <w:tc>
          <w:tcPr>
            <w:tcW w:w="2093" w:type="dxa"/>
            <w:vMerge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Приведено меньшее количество аргументов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07412" w:rsidRPr="005C4149" w:rsidTr="005C4149">
        <w:tc>
          <w:tcPr>
            <w:tcW w:w="2093" w:type="dxa"/>
            <w:vMerge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Приведены только односторонние аргументы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07412" w:rsidRPr="005C4149" w:rsidTr="005C4149">
        <w:tc>
          <w:tcPr>
            <w:tcW w:w="2093" w:type="dxa"/>
            <w:vMerge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76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 не выполнено</w:t>
            </w:r>
          </w:p>
        </w:tc>
        <w:tc>
          <w:tcPr>
            <w:tcW w:w="902" w:type="dxa"/>
            <w:hideMark/>
          </w:tcPr>
          <w:p w:rsidR="00707412" w:rsidRPr="005C4149" w:rsidRDefault="00707412" w:rsidP="005C4149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</w:tbl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ЧАСТЬ 3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Далее участники делятся на несколько групп, которые должны дать экспертную оценку выполненным работам. Ведущий собирает все работы и делит их поровну между группами экспертов. Группы оценивают полученные работы по предложенным 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критериям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результаты заносят в «Протокол» (см. ниже):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Протокол экспертной оценки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736"/>
        <w:gridCol w:w="1441"/>
        <w:gridCol w:w="1995"/>
        <w:gridCol w:w="2160"/>
      </w:tblGrid>
      <w:tr w:rsidR="00707412" w:rsidRPr="005C4149" w:rsidTr="007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7412" w:rsidRPr="005C4149" w:rsidRDefault="00707412" w:rsidP="005C41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7412" w:rsidRPr="005C4149" w:rsidRDefault="00707412" w:rsidP="005C41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7412" w:rsidRPr="005C4149" w:rsidRDefault="00707412" w:rsidP="005C41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Тезирование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7412" w:rsidRPr="005C4149" w:rsidRDefault="00707412" w:rsidP="005C41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Создание текста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7412" w:rsidRPr="005C4149" w:rsidRDefault="00707412" w:rsidP="005C41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Аргументирование</w:t>
            </w:r>
          </w:p>
        </w:tc>
      </w:tr>
      <w:tr w:rsidR="00707412" w:rsidRPr="005C4149" w:rsidTr="007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7412" w:rsidRPr="005C4149" w:rsidRDefault="00707412" w:rsidP="005C41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7412" w:rsidRPr="005C4149" w:rsidRDefault="00707412" w:rsidP="005C41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7412" w:rsidRPr="005C4149" w:rsidRDefault="00707412" w:rsidP="005C41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7412" w:rsidRPr="005C4149" w:rsidRDefault="00707412" w:rsidP="005C41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7412" w:rsidRPr="005C4149" w:rsidRDefault="00707412" w:rsidP="005C41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41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 завершении работы экспертных групп ведущий собирает все «Протоколы» и зачитывает баллы, выставленные экспертами. Участники вносят полученные ими баллы в свои «Таблицы оценивания» в строку «Оценка экспертов» и сравнивают баллы, которые они выставили себе сами, с баллами, выставленными им экспертами. Желающие могут задать вопросы экспертам, если их собственные баллы не совпадают с баллами экспертов.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завершении обсуждения ведущий еще раз подчеркивает, что применение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критериального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оценивания снижает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стрессогенность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процесса оценивания, поскольку всем участникам заранее ясны все критерии и при возникновении разногласия их легко </w:t>
      </w:r>
      <w:proofErr w:type="gram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уладить</w:t>
      </w:r>
      <w:proofErr w:type="gram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, опираясь на общие представления об эталоне работы.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Кроме того,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критериальное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оценивание способствует развитию адекватной самооценки, так как дает возможность сравнить собственную точку зрения на свою работу с другой точкой зрения.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Критериальное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оценивание позволяет организовать в классе </w:t>
      </w:r>
      <w:proofErr w:type="spellStart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взаимооценивание</w:t>
      </w:r>
      <w:proofErr w:type="spellEnd"/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, что особенно важно для подростков, которые очень нуждаются в обратной связи с одноклассниками.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Домашнее задание</w:t>
      </w:r>
    </w:p>
    <w:p w:rsidR="00707412" w:rsidRPr="005C4149" w:rsidRDefault="00707412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41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Участникам предлагается еще раз просмотреть материалы всех прошедших семинаров и подготовить вопросы, если они появятся. Следующий семинар — завершающий и будет посвящен отработке полученного опыта.</w:t>
      </w:r>
    </w:p>
    <w:p w:rsidR="005A265B" w:rsidRPr="005C4149" w:rsidRDefault="005A265B" w:rsidP="005C414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sectPr w:rsidR="005A265B" w:rsidRPr="005C4149" w:rsidSect="005C4149">
      <w:pgSz w:w="11906" w:h="16838"/>
      <w:pgMar w:top="1134" w:right="850" w:bottom="1134" w:left="1701" w:header="708" w:footer="708" w:gutter="0"/>
      <w:pgBorders w:offsetFrom="page">
        <w:top w:val="crazyMaze" w:sz="10" w:space="24" w:color="auto"/>
        <w:left w:val="crazyMaze" w:sz="10" w:space="24" w:color="auto"/>
        <w:bottom w:val="crazyMaze" w:sz="10" w:space="24" w:color="auto"/>
        <w:right w:val="crazyMaz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12"/>
    <w:rsid w:val="0024615A"/>
    <w:rsid w:val="0032630D"/>
    <w:rsid w:val="00580467"/>
    <w:rsid w:val="00580F23"/>
    <w:rsid w:val="005A265B"/>
    <w:rsid w:val="005C4149"/>
    <w:rsid w:val="00707412"/>
    <w:rsid w:val="00B06A03"/>
    <w:rsid w:val="00B41246"/>
    <w:rsid w:val="00C37B62"/>
    <w:rsid w:val="00F9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A0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6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A0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6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9</cp:revision>
  <cp:lastPrinted>2021-11-23T02:32:00Z</cp:lastPrinted>
  <dcterms:created xsi:type="dcterms:W3CDTF">2021-11-21T08:14:00Z</dcterms:created>
  <dcterms:modified xsi:type="dcterms:W3CDTF">2021-11-23T02:35:00Z</dcterms:modified>
</cp:coreProperties>
</file>